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9" w:rsidRPr="00642822" w:rsidRDefault="003A2579" w:rsidP="00917EA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67" o:spid="_x0000_s1026" type="#_x0000_t75" style="position:absolute;margin-left:369pt;margin-top:-36pt;width:127.45pt;height:49.75pt;z-index:251658240;visibility:visible">
            <v:imagedata r:id="rId5" o:title=""/>
            <w10:wrap type="square"/>
          </v:shape>
        </w:pict>
      </w:r>
    </w:p>
    <w:p w:rsidR="003A2579" w:rsidRPr="00917EA0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pict>
          <v:shape id="Picture 13" o:spid="_x0000_s1027" type="#_x0000_t75" alt="Photo Dose BOLUS LD" style="position:absolute;left:0;text-align:left;margin-left:440.55pt;margin-top:12.35pt;width:56.8pt;height:76.5pt;z-index:251657216;visibility:visible">
            <v:imagedata r:id="rId6" o:title=""/>
            <w10:wrap type="square"/>
          </v:shape>
        </w:pic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b/>
          <w:bCs/>
          <w:sz w:val="24"/>
          <w:szCs w:val="24"/>
        </w:rPr>
      </w:pPr>
      <w:r>
        <w:rPr>
          <w:rFonts w:ascii="Times New Roman" w:eastAsia="FranklinGothic-Book" w:hAnsi="Times New Roman" w:cs="Times New Roman"/>
          <w:b/>
          <w:bCs/>
          <w:sz w:val="24"/>
          <w:szCs w:val="24"/>
        </w:rPr>
        <w:t>ОПРЕДЕЛЕНИЕ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sz w:val="24"/>
          <w:szCs w:val="24"/>
        </w:rPr>
      </w:pPr>
      <w:r w:rsidRPr="00821D96">
        <w:rPr>
          <w:rFonts w:ascii="Times New Roman" w:eastAsia="FranklinGothic-Book" w:hAnsi="Times New Roman" w:cs="Times New Roman"/>
          <w:color w:val="1F497D"/>
          <w:sz w:val="24"/>
          <w:szCs w:val="24"/>
        </w:rPr>
        <w:t>ДиетевитИксель</w:t>
      </w:r>
      <w:r w:rsidRPr="00552D14">
        <w:rPr>
          <w:rFonts w:ascii="Times New Roman" w:eastAsia="FranklinGothic-Book" w:hAnsi="Times New Roman" w:cs="Times New Roman"/>
          <w:color w:val="1F497D"/>
          <w:sz w:val="24"/>
          <w:szCs w:val="24"/>
        </w:rPr>
        <w:t xml:space="preserve"> </w:t>
      </w:r>
      <w:r w:rsidRPr="00821D96">
        <w:rPr>
          <w:rFonts w:ascii="Times New Roman" w:eastAsia="FranklinGothic-Book" w:hAnsi="Times New Roman" w:cs="Times New Roman"/>
          <w:sz w:val="24"/>
          <w:szCs w:val="24"/>
        </w:rPr>
        <w:t>– это кормовая добавка в форме индивидуальных болюсов, предназначенная для обогащения рационов животных с живой массой более 200 кг, которые не получают премиксы, по витаминам и микроэлементам.</w:t>
      </w:r>
    </w:p>
    <w:p w:rsidR="003A2579" w:rsidRPr="00821D96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sz w:val="24"/>
          <w:szCs w:val="24"/>
        </w:rPr>
      </w:pPr>
    </w:p>
    <w:p w:rsidR="003A2579" w:rsidRPr="00452024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b/>
          <w:bCs/>
          <w:sz w:val="24"/>
          <w:szCs w:val="24"/>
        </w:rPr>
      </w:pPr>
      <w:r w:rsidRPr="00452024">
        <w:rPr>
          <w:rFonts w:ascii="Times New Roman" w:eastAsia="FranklinGothic-Book" w:hAnsi="Times New Roman" w:cs="Times New Roman"/>
          <w:b/>
          <w:bCs/>
          <w:sz w:val="24"/>
          <w:szCs w:val="24"/>
        </w:rPr>
        <w:t>ОБОСНОВАНИЕ К ПРИМЕНЕНИЮ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 xml:space="preserve">Рентабельность молочного скотоводства тесно связана с выращиванием ремонтного молодняка, который в дальнейшем заменит основное производственное стадо. Для правильного развития телок и нетелей необходимо обеспечить их сбалансированное кормление, которое подразумевает поступление питательных веществ и энергии в оптимальных физиологически обоснованных количествах. 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Особое внимание необходимо уделить витаминно-минеральному кормлению животных. В настоящее время поступление микронутриентов обеспечивается за счет ввода в рацион витаминно-минеральных премиксов. Однако такой способ балансирования рационов имеет ряд недостатков:</w:t>
      </w:r>
    </w:p>
    <w:p w:rsidR="003A2579" w:rsidRPr="00423120" w:rsidRDefault="003A2579" w:rsidP="00917EA0">
      <w:pPr>
        <w:pStyle w:val="ListParagraph"/>
        <w:widowControl/>
        <w:numPr>
          <w:ilvl w:val="0"/>
          <w:numId w:val="2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423120">
        <w:rPr>
          <w:rFonts w:ascii="Times New Roman" w:eastAsia="FranklinGothic-Book" w:hAnsi="Times New Roman" w:cs="Times New Roman"/>
          <w:sz w:val="24"/>
          <w:szCs w:val="24"/>
        </w:rPr>
        <w:t>Трудность дозирования;</w:t>
      </w:r>
    </w:p>
    <w:p w:rsidR="003A2579" w:rsidRPr="00423120" w:rsidRDefault="003A2579" w:rsidP="00917EA0">
      <w:pPr>
        <w:pStyle w:val="ListParagraph"/>
        <w:widowControl/>
        <w:numPr>
          <w:ilvl w:val="0"/>
          <w:numId w:val="2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423120">
        <w:rPr>
          <w:rFonts w:ascii="Times New Roman" w:eastAsia="FranklinGothic-Book" w:hAnsi="Times New Roman" w:cs="Times New Roman"/>
          <w:sz w:val="24"/>
          <w:szCs w:val="24"/>
        </w:rPr>
        <w:t>Отсутствие контроля потребления премиксов и гарантии поступления микронутриентов;</w:t>
      </w:r>
    </w:p>
    <w:p w:rsidR="003A2579" w:rsidRDefault="003A2579" w:rsidP="00917EA0">
      <w:pPr>
        <w:pStyle w:val="ListParagraph"/>
        <w:widowControl/>
        <w:numPr>
          <w:ilvl w:val="0"/>
          <w:numId w:val="2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423120">
        <w:rPr>
          <w:rFonts w:ascii="Times New Roman" w:eastAsia="FranklinGothic-Book" w:hAnsi="Times New Roman" w:cs="Times New Roman"/>
          <w:sz w:val="24"/>
          <w:szCs w:val="24"/>
        </w:rPr>
        <w:t>Влияние человеческого фактора.</w:t>
      </w:r>
    </w:p>
    <w:p w:rsidR="003A2579" w:rsidRPr="00423120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Особенно трудно осуществлять нормированное витаминно-минеральное кормление телок и нетелей в пастбищный период в условиях свободного выгула.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 xml:space="preserve">Специалистами компании НЕОЛАЙТ, Франция, разработана современная альтернатива традиционным премиксам - болюсы для телок с живой массой более 200 кг и нетелей </w:t>
      </w:r>
      <w:r w:rsidRPr="00821D96">
        <w:rPr>
          <w:rFonts w:ascii="Times New Roman" w:eastAsia="FranklinGothic-Book" w:hAnsi="Times New Roman" w:cs="Times New Roman"/>
          <w:color w:val="1F497D"/>
          <w:sz w:val="24"/>
          <w:szCs w:val="24"/>
        </w:rPr>
        <w:t>ДиетевитИксель</w:t>
      </w:r>
      <w:r>
        <w:rPr>
          <w:rFonts w:ascii="Times New Roman" w:eastAsia="FranklinGothic-Book" w:hAnsi="Times New Roman" w:cs="Times New Roman"/>
          <w:sz w:val="24"/>
          <w:szCs w:val="24"/>
        </w:rPr>
        <w:t>. Данная кормовая добавка обеспечивает гарантированное, постоянное и стабильное поступление витаминов и микроэлементов в организм животных в течение всего пастбищного или стойлового периода, а также полностью устраняет негативное влияние человеческого фактора.</w:t>
      </w:r>
    </w:p>
    <w:p w:rsidR="003A2579" w:rsidRPr="0070706A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sz w:val="24"/>
          <w:szCs w:val="24"/>
        </w:rPr>
      </w:pPr>
    </w:p>
    <w:p w:rsidR="003A2579" w:rsidRPr="001764E5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b/>
          <w:bCs/>
          <w:sz w:val="24"/>
          <w:szCs w:val="24"/>
        </w:rPr>
      </w:pPr>
      <w:r>
        <w:rPr>
          <w:rFonts w:ascii="Times New Roman" w:eastAsia="FranklinGothic-Book" w:hAnsi="Times New Roman" w:cs="Times New Roman"/>
          <w:b/>
          <w:bCs/>
          <w:sz w:val="24"/>
          <w:szCs w:val="24"/>
        </w:rPr>
        <w:t xml:space="preserve">ПОКАЗАНИЯ </w:t>
      </w:r>
    </w:p>
    <w:p w:rsidR="003A2579" w:rsidRDefault="003A2579" w:rsidP="00917EA0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Для обогащения рациона телок и нетелей микроэлементами и витаминами при пастбищном или стойловом содержании;</w:t>
      </w:r>
    </w:p>
    <w:p w:rsidR="003A2579" w:rsidRDefault="003A2579" w:rsidP="00917EA0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Для улучшения обменных процессов в организме животных;</w:t>
      </w:r>
    </w:p>
    <w:p w:rsidR="003A2579" w:rsidRDefault="003A2579" w:rsidP="00917EA0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Для повышения темпов роста у телок;</w:t>
      </w:r>
    </w:p>
    <w:p w:rsidR="003A2579" w:rsidRDefault="003A2579" w:rsidP="00917EA0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Для усиления иммунного и антиоксидантного статуса организма;</w:t>
      </w:r>
    </w:p>
    <w:p w:rsidR="003A2579" w:rsidRDefault="003A2579" w:rsidP="00917EA0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Для улучшения репродуктивных функций и подготовки нетелей к отелу.</w:t>
      </w:r>
    </w:p>
    <w:p w:rsidR="003A2579" w:rsidRPr="00552D14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sz w:val="24"/>
          <w:szCs w:val="24"/>
        </w:rPr>
      </w:pPr>
    </w:p>
    <w:p w:rsidR="003A2579" w:rsidRPr="00917EA0" w:rsidRDefault="003A2579" w:rsidP="00917EA0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64E5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83"/>
        <w:gridCol w:w="2616"/>
        <w:gridCol w:w="2674"/>
        <w:gridCol w:w="2803"/>
      </w:tblGrid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71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Элементы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ind w:left="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Сырье представлено в форме</w:t>
            </w: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Гарантированный состав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-426"/>
              <w:rPr>
                <w:rStyle w:val="FontStyle12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Style w:val="FontStyle12"/>
                <w:color w:val="00000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21416" w:rsidRDefault="003A2579" w:rsidP="00911394">
            <w:pPr>
              <w:pStyle w:val="Style3"/>
              <w:widowControl/>
              <w:ind w:left="-4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 xml:space="preserve">В 1 болюсе 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val="en-US" w:eastAsia="en-US"/>
              </w:rPr>
              <w:t xml:space="preserve"> 95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 xml:space="preserve"> 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21416" w:rsidRDefault="003A2579" w:rsidP="00911394">
            <w:pPr>
              <w:pStyle w:val="Style3"/>
              <w:widowControl/>
              <w:ind w:left="-4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доза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val="en-US" w:eastAsia="en-US"/>
              </w:rPr>
              <w:t xml:space="preserve"> (2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 xml:space="preserve"> болюса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val="en-US" w:eastAsia="en-US"/>
              </w:rPr>
              <w:t xml:space="preserve"> x 95 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г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val="en-US" w:eastAsia="en-US"/>
              </w:rPr>
              <w:t>)</w:t>
            </w:r>
          </w:p>
        </w:tc>
      </w:tr>
      <w:tr w:rsidR="003A2579" w:rsidRPr="003C043D">
        <w:trPr>
          <w:jc w:val="center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4"/>
              <w:widowControl/>
              <w:ind w:left="6"/>
              <w:rPr>
                <w:rStyle w:val="FontStyle11"/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Style w:val="FontStyle11"/>
                <w:rFonts w:ascii="Times New Roman" w:hAnsi="Times New Roman" w:cs="Times New Roman"/>
                <w:color w:val="000000"/>
                <w:lang w:eastAsia="en-US"/>
              </w:rPr>
              <w:t>Макроэлементы</w:t>
            </w:r>
            <w:r w:rsidRPr="00BB5359">
              <w:rPr>
                <w:rStyle w:val="FontStyle11"/>
                <w:rFonts w:ascii="Times New Roman" w:hAnsi="Times New Roman" w:cs="Times New Roman"/>
                <w:color w:val="000000"/>
                <w:lang w:val="en-US" w:eastAsia="en-US"/>
              </w:rPr>
              <w:t>: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Кальций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821D96" w:rsidRDefault="003A2579" w:rsidP="00911394">
            <w:pPr>
              <w:pStyle w:val="Style3"/>
              <w:widowControl/>
              <w:spacing w:line="240" w:lineRule="auto"/>
              <w:ind w:left="6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Карбонат кальция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2.2 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4.4 г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Магний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821D96" w:rsidRDefault="003A2579" w:rsidP="00911394">
            <w:pPr>
              <w:pStyle w:val="Style3"/>
              <w:widowControl/>
              <w:spacing w:line="240" w:lineRule="auto"/>
              <w:ind w:left="6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Оксид магния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8.4 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16.8 г</w:t>
            </w:r>
          </w:p>
        </w:tc>
      </w:tr>
      <w:tr w:rsidR="003A2579" w:rsidRPr="003C043D">
        <w:trPr>
          <w:jc w:val="center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4"/>
              <w:widowControl/>
              <w:ind w:left="6"/>
              <w:rPr>
                <w:rStyle w:val="FontStyle11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color w:val="000000"/>
                <w:lang w:eastAsia="en-US"/>
              </w:rPr>
              <w:t>Микроэлементы</w:t>
            </w:r>
            <w:r w:rsidRPr="00BB5359">
              <w:rPr>
                <w:rStyle w:val="FontStyle11"/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21416" w:rsidRDefault="003A2579" w:rsidP="00911394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1416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Цинк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Оксид цинка и аминокислотный гидрат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21416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25 000 мг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21416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50 000 мг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21416" w:rsidRDefault="003A2579" w:rsidP="00911394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</w:pPr>
            <w:r w:rsidRPr="00B21416">
              <w:rPr>
                <w:rStyle w:val="FontStyle12"/>
                <w:rFonts w:ascii="Times New Roman" w:hAnsi="Times New Roman" w:cs="Times New Roman"/>
                <w:color w:val="000000"/>
                <w:lang w:eastAsia="en-US"/>
              </w:rPr>
              <w:t>Марганец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Оксид марганца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1 500 мг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3 000 мг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Сульфат меди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6 000 мг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12 000 мг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Йодид кальция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1 500 мг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3</w:t>
            </w:r>
            <w:r>
              <w:rPr>
                <w:rStyle w:val="FontStyle12"/>
                <w:rFonts w:ascii="Times New Roman" w:hAnsi="Times New Roman" w:cs="Times New Roman"/>
                <w:color w:val="000000"/>
              </w:rPr>
              <w:t> 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000мг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Кобальт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Кобальт карбонат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240 мг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480 мг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Селенит натрия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260 мг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520 мг</w:t>
            </w:r>
          </w:p>
        </w:tc>
      </w:tr>
      <w:tr w:rsidR="003A2579" w:rsidRPr="003C043D">
        <w:trPr>
          <w:jc w:val="center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ind w:left="6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043D">
              <w:rPr>
                <w:rFonts w:ascii="Times New Roman" w:hAnsi="Times New Roman" w:cs="Times New Roman"/>
                <w:i/>
                <w:iCs/>
                <w:color w:val="000000"/>
              </w:rPr>
              <w:t>Витамины: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Витамин 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5"/>
              <w:widowControl/>
              <w:ind w:left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500 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  <w:t>000</w:t>
            </w: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 xml:space="preserve"> МЕ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1 000 000 МЕ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Витамин D3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5"/>
              <w:widowControl/>
              <w:ind w:left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100 000 МЕ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200 000 МЕ</w:t>
            </w:r>
          </w:p>
        </w:tc>
      </w:tr>
      <w:tr w:rsidR="003A2579" w:rsidRPr="003C043D">
        <w:trPr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3C043D" w:rsidRDefault="003A2579" w:rsidP="00911394">
            <w:pPr>
              <w:rPr>
                <w:rFonts w:ascii="Times New Roman" w:hAnsi="Times New Roman" w:cs="Times New Roman"/>
                <w:color w:val="000000"/>
              </w:rPr>
            </w:pPr>
            <w:r w:rsidRPr="003C043D">
              <w:rPr>
                <w:rFonts w:ascii="Times New Roman" w:hAnsi="Times New Roman" w:cs="Times New Roman"/>
                <w:color w:val="000000"/>
              </w:rPr>
              <w:t>Витамин Е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5"/>
              <w:widowControl/>
              <w:ind w:left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2 500 МЕ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9" w:rsidRPr="00BB5359" w:rsidRDefault="003A2579" w:rsidP="00911394">
            <w:pPr>
              <w:pStyle w:val="Style3"/>
              <w:widowControl/>
              <w:spacing w:line="240" w:lineRule="auto"/>
              <w:ind w:left="-426"/>
              <w:jc w:val="center"/>
              <w:rPr>
                <w:rStyle w:val="FontStyle12"/>
                <w:rFonts w:ascii="Times New Roman" w:hAnsi="Times New Roman" w:cs="Times New Roman"/>
                <w:color w:val="000000"/>
                <w:lang w:val="en-US"/>
              </w:rPr>
            </w:pPr>
            <w:r w:rsidRPr="00BB5359">
              <w:rPr>
                <w:rStyle w:val="FontStyle12"/>
                <w:rFonts w:ascii="Times New Roman" w:hAnsi="Times New Roman" w:cs="Times New Roman"/>
                <w:color w:val="000000"/>
              </w:rPr>
              <w:t>5 000 МЕ</w:t>
            </w:r>
          </w:p>
        </w:tc>
      </w:tr>
    </w:tbl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b/>
          <w:bCs/>
          <w:color w:val="000000"/>
          <w:sz w:val="24"/>
          <w:szCs w:val="24"/>
        </w:rPr>
      </w:pPr>
      <w:r w:rsidRPr="001E37A0">
        <w:rPr>
          <w:rFonts w:ascii="Times New Roman" w:eastAsia="FranklinGothic-Book" w:hAnsi="Times New Roman" w:cs="Times New Roman"/>
          <w:b/>
          <w:bCs/>
          <w:color w:val="000000"/>
          <w:sz w:val="24"/>
          <w:szCs w:val="24"/>
        </w:rPr>
        <w:t>МЕХАНИЗМ ДЕЙСТВИЯ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36A53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Витамины и микроэлементы, входящие в состав кормовой добавки </w:t>
      </w:r>
      <w:r w:rsidRPr="00821D96">
        <w:rPr>
          <w:rFonts w:ascii="Times New Roman" w:eastAsia="FranklinGothic-Book" w:hAnsi="Times New Roman" w:cs="Times New Roman"/>
          <w:color w:val="1F497D"/>
          <w:sz w:val="24"/>
          <w:szCs w:val="24"/>
        </w:rPr>
        <w:t>ДиетевитИксель</w:t>
      </w:r>
      <w:r w:rsidRPr="00136A53">
        <w:rPr>
          <w:rFonts w:ascii="Times New Roman" w:eastAsia="FranklinGothic-Book" w:hAnsi="Times New Roman" w:cs="Times New Roman"/>
          <w:color w:val="000000"/>
          <w:sz w:val="24"/>
          <w:szCs w:val="24"/>
        </w:rPr>
        <w:t>оказывают комплексное воздействие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на различные системы организма.</w:t>
      </w:r>
    </w:p>
    <w:p w:rsidR="003A2579" w:rsidRPr="00FF66B7" w:rsidRDefault="003A2579" w:rsidP="00917EA0">
      <w:pPr>
        <w:tabs>
          <w:tab w:val="left" w:pos="426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>
        <w:rPr>
          <w:rFonts w:ascii="Times New Roman" w:eastAsia="FranklinGothic-Book" w:hAnsi="Times New Roman" w:cs="Times New Roman"/>
          <w:b/>
          <w:bCs/>
          <w:color w:val="000000"/>
          <w:sz w:val="24"/>
          <w:szCs w:val="24"/>
        </w:rPr>
        <w:t>Антиоксидантная система.</w:t>
      </w:r>
      <w:r w:rsidRPr="00151F0D">
        <w:rPr>
          <w:rFonts w:ascii="Times New Roman" w:eastAsia="FranklinGothic-Book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>икроэлементы</w:t>
      </w:r>
      <w:r w:rsidRPr="00FF66B7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цинк, медь и марганец принимают участие в синтезе фермента супероксиддисмутаза, селен участвует в образовании фермента глутатионпероксидаза. Данные ферменты являются первой линией защиты организма от негативного воздействия свободных радикалов, разрушающих клеточные структуры и нарушающих функциональную активность тканей и органов. 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Антиоксидантные ферменты в сочетании с витаминами Е и А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способствуют преобразованию высокотоксичных свободных радикалов в безопасные для организма метаболиты, тем самым предохраняя животных от окислительного стресса и связанного с ним падения продуктивности.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51F0D">
        <w:rPr>
          <w:rFonts w:ascii="Times New Roman" w:eastAsia="FranklinGothic-Book" w:hAnsi="Times New Roman" w:cs="Times New Roman"/>
          <w:b/>
          <w:bCs/>
          <w:color w:val="000000"/>
          <w:sz w:val="24"/>
          <w:szCs w:val="24"/>
        </w:rPr>
        <w:t>Иммунная система.</w:t>
      </w:r>
      <w:r w:rsidRPr="00FF66B7">
        <w:rPr>
          <w:rFonts w:ascii="Times New Roman" w:eastAsia="FranklinGothic-Book" w:hAnsi="Times New Roman" w:cs="Times New Roman"/>
          <w:color w:val="000000"/>
          <w:sz w:val="24"/>
          <w:szCs w:val="24"/>
        </w:rPr>
        <w:t>Витамины А и Е инициируют и принимают участие в образовани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>и</w:t>
      </w:r>
      <w:r w:rsidRPr="00FF66B7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большого количества антител на поверхности дыхательных путей и желудочно-кишечного тракта. 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Цинк принимает участие в синтезе некоторых ферментов, защищающих организм от воздействия вирусов и бактерий. Кроме того, цинк регулирует работу Т-клеток, а также защищает организм от негативного воздействия свободных радикалов. Таким образом, дополнительное поступление витаминов и цинка способствует повышению иммунного статуса животных.</w:t>
      </w:r>
    </w:p>
    <w:p w:rsidR="003A2579" w:rsidRPr="00151F0D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 w:rsidRPr="00151F0D">
        <w:rPr>
          <w:rFonts w:ascii="Times New Roman" w:eastAsia="FranklinGothic-Book" w:hAnsi="Times New Roman" w:cs="Times New Roman"/>
          <w:b/>
          <w:bCs/>
          <w:color w:val="000000"/>
          <w:sz w:val="24"/>
          <w:szCs w:val="24"/>
        </w:rPr>
        <w:t>Репродуктивные функции.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Для нормального развития воспроизводительной системы необходимо стабильное поступление в организм животного витаминов А и Е, микроэлементов цинка, марганца, селена и меди. 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color w:val="000000"/>
          <w:sz w:val="24"/>
          <w:szCs w:val="24"/>
        </w:rPr>
        <w:t>Витамин А участвует в синтезе стероидных гормонов, в частности прогестерона, регулирует течение полового цикла и оказывает влияние на развитие эмбриона.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Витамины А и Е стимулируют функции половых желез, участвуют в созревании фолликулов. Витамин Е участвует в экспрессии генов и реализации наследственной информации.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 xml:space="preserve">Цинк необходим для синтеза простагландинов и фолликулина-гормона, регулирующего половую активность. Помимо этого цинк принимает участие в процессе интеграции зародыша в рог матки. 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Медь и кобальт</w:t>
      </w:r>
      <w:r>
        <w:rPr>
          <w:rFonts w:ascii="Times New Roman" w:eastAsia="FranklinGothic-Book" w:hAnsi="Times New Roman" w:cs="Times New Roman"/>
          <w:sz w:val="24"/>
          <w:szCs w:val="24"/>
        </w:rPr>
        <w:t xml:space="preserve"> крайне необходимы для нормального развития эмбриона, в частности кровеносной системы. При дефиците данных микроэлементов наблюдается высокая смертность эмбрионов.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4A3BEA">
        <w:rPr>
          <w:rFonts w:ascii="Times New Roman" w:eastAsia="FranklinGothic-Book" w:hAnsi="Times New Roman" w:cs="Times New Roman"/>
          <w:b/>
          <w:bCs/>
          <w:sz w:val="24"/>
          <w:szCs w:val="24"/>
        </w:rPr>
        <w:t>Рост и развитие.</w:t>
      </w:r>
      <w:r>
        <w:rPr>
          <w:rFonts w:ascii="Times New Roman" w:eastAsia="FranklinGothic-Book" w:hAnsi="Times New Roman" w:cs="Times New Roman"/>
          <w:sz w:val="24"/>
          <w:szCs w:val="24"/>
        </w:rPr>
        <w:t xml:space="preserve"> Для полноценного развития органов и систем животных крайне важно обеспечить своевременное поступление в организм эссенциальных микроэлементов и витаминов.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Йод</w:t>
      </w:r>
      <w:r>
        <w:rPr>
          <w:rFonts w:ascii="Times New Roman" w:eastAsia="FranklinGothic-Book" w:hAnsi="Times New Roman" w:cs="Times New Roman"/>
          <w:sz w:val="24"/>
          <w:szCs w:val="24"/>
        </w:rPr>
        <w:t xml:space="preserve"> принимает участие в си</w:t>
      </w:r>
      <w:r w:rsidRPr="00FF66B7">
        <w:rPr>
          <w:rFonts w:ascii="Times New Roman" w:eastAsia="FranklinGothic-Book" w:hAnsi="Times New Roman" w:cs="Times New Roman"/>
          <w:sz w:val="24"/>
          <w:szCs w:val="24"/>
        </w:rPr>
        <w:t>нтезе гормонов щитовидной железы, в частности тироксина, которые напрямую влияют на темпы роста животных.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Цинк активирует процесс пролиферации клеток, а также регулирует эндогенный синтез протеина, необходимого для построения белковых структур тканей и органов.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Кобальт участвует в синтезе витамина В</w:t>
      </w:r>
      <w:r w:rsidRPr="00FF66B7">
        <w:rPr>
          <w:rFonts w:ascii="Times New Roman" w:eastAsia="FranklinGothic-Book" w:hAnsi="Times New Roman" w:cs="Times New Roman"/>
          <w:sz w:val="24"/>
          <w:szCs w:val="24"/>
          <w:vertAlign w:val="subscript"/>
        </w:rPr>
        <w:t>12</w:t>
      </w:r>
      <w:r w:rsidRPr="00FF66B7">
        <w:rPr>
          <w:rFonts w:ascii="Times New Roman" w:eastAsia="FranklinGothic-Book" w:hAnsi="Times New Roman" w:cs="Times New Roman"/>
          <w:sz w:val="24"/>
          <w:szCs w:val="24"/>
        </w:rPr>
        <w:t>, который в сочетании с медью участвует в кроветворной функции и регулирует созревание эритроцитов. Помимо этого медь активирует обменные процессы, принимая участие в синтезе цитохром-оксидазы (фермента, участвующего в образовании АТФ).</w:t>
      </w:r>
    </w:p>
    <w:p w:rsidR="003A2579" w:rsidRPr="00FF66B7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Марганец и кальций необходимы для нормальной минерализации костной ткани, за счет которой происходит увеличение механической прочности костей.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 w:rsidRPr="00FF66B7">
        <w:rPr>
          <w:rFonts w:ascii="Times New Roman" w:eastAsia="FranklinGothic-Book" w:hAnsi="Times New Roman" w:cs="Times New Roman"/>
          <w:sz w:val="24"/>
          <w:szCs w:val="24"/>
        </w:rPr>
        <w:t>Витамин А</w:t>
      </w:r>
      <w:r>
        <w:rPr>
          <w:rFonts w:ascii="Times New Roman" w:eastAsia="FranklinGothic-Book" w:hAnsi="Times New Roman" w:cs="Times New Roman"/>
          <w:sz w:val="24"/>
          <w:szCs w:val="24"/>
        </w:rPr>
        <w:t xml:space="preserve"> участвует в процессах дифференциации клеток, что непосредственно влияет на функциональную активность эпителиальных тканей.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Особое внимание стоит обратить на то, что недостаток перечисленных микронутриентов в период интенсивного роста и развития организма приводит к отставанию в развитии и нарушению функций систем и органов. Данные метаболические нарушения могут иметь необратимые последствия, которые значительно снижают производственную ценность животных.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sz w:val="24"/>
          <w:szCs w:val="24"/>
        </w:rPr>
      </w:pPr>
      <w:r>
        <w:rPr>
          <w:rFonts w:ascii="Times New Roman" w:eastAsia="FranklinGothic-Book" w:hAnsi="Times New Roman" w:cs="Times New Roman"/>
          <w:sz w:val="24"/>
          <w:szCs w:val="24"/>
        </w:rPr>
        <w:t>Таким образом, постоянное поступление витаминов и микроэлементов в физиологически обоснованных количествах способствует нормализации роста и развития животных, а также позволяет подготовить организм нетелей к отелу.</w:t>
      </w:r>
    </w:p>
    <w:p w:rsidR="003A2579" w:rsidRPr="004A3BEA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b/>
          <w:bCs/>
          <w:color w:val="000000"/>
          <w:sz w:val="24"/>
          <w:szCs w:val="24"/>
        </w:rPr>
      </w:pPr>
      <w:r w:rsidRPr="001E37A0">
        <w:rPr>
          <w:rFonts w:ascii="Times New Roman" w:eastAsia="FranklinGothic-Book" w:hAnsi="Times New Roman" w:cs="Times New Roman"/>
          <w:b/>
          <w:bCs/>
          <w:color w:val="000000"/>
          <w:sz w:val="24"/>
          <w:szCs w:val="24"/>
        </w:rPr>
        <w:t>СПОСОБ ПРИМЕНЕНИЯ</w:t>
      </w: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Кормовая добавка </w:t>
      </w:r>
      <w:r w:rsidRPr="00821D96">
        <w:rPr>
          <w:rFonts w:ascii="Times New Roman" w:eastAsia="FranklinGothic-Book" w:hAnsi="Times New Roman" w:cs="Times New Roman"/>
          <w:color w:val="1F497D"/>
          <w:sz w:val="24"/>
          <w:szCs w:val="24"/>
        </w:rPr>
        <w:t>ДиетевитИксель</w:t>
      </w:r>
      <w:r w:rsidRPr="00853274">
        <w:rPr>
          <w:rFonts w:ascii="Times New Roman" w:eastAsia="FranklinGothic-Book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>вводится телкам с живой массой более 200 кг и нетелям перед переводом на пастбищное содержание в количестве 2-х болюсов с помощью специального аппликатора. Растворение болюса происходит в течение 8 месяцев.</w:t>
      </w:r>
    </w:p>
    <w:p w:rsidR="003A2579" w:rsidRPr="00F8198F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 w:rsidRPr="00DC2E29">
        <w:rPr>
          <w:rFonts w:ascii="Times New Roman" w:eastAsia="FranklinGothic-Book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>азмер и форма болюса разработа</w:t>
      </w:r>
      <w:r w:rsidRPr="00DC2E29">
        <w:rPr>
          <w:rFonts w:ascii="Times New Roman" w:eastAsia="FranklinGothic-Book" w:hAnsi="Times New Roman" w:cs="Times New Roman"/>
          <w:color w:val="000000"/>
          <w:sz w:val="24"/>
          <w:szCs w:val="24"/>
        </w:rPr>
        <w:t>ны д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ля их легкого введения животным </w:t>
      </w:r>
      <w:r w:rsidRPr="00DC2E29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>помощью специального аппликато</w:t>
      </w:r>
      <w:r w:rsidRPr="00DC2E29">
        <w:rPr>
          <w:rFonts w:ascii="Times New Roman" w:eastAsia="FranklinGothic-Book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в некоторых случаях возможно </w:t>
      </w:r>
      <w:r w:rsidRPr="00DC2E29">
        <w:rPr>
          <w:rFonts w:ascii="Times New Roman" w:eastAsia="FranklinGothic-Book" w:hAnsi="Times New Roman" w:cs="Times New Roman"/>
          <w:color w:val="000000"/>
          <w:sz w:val="24"/>
          <w:szCs w:val="24"/>
        </w:rPr>
        <w:t>без него.</w:t>
      </w:r>
    </w:p>
    <w:p w:rsidR="003A2579" w:rsidRPr="001764E5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sz w:val="24"/>
          <w:szCs w:val="24"/>
        </w:rPr>
      </w:pPr>
    </w:p>
    <w:p w:rsidR="003A2579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b/>
          <w:bCs/>
          <w:sz w:val="24"/>
          <w:szCs w:val="24"/>
        </w:rPr>
      </w:pPr>
      <w:r w:rsidRPr="001764E5">
        <w:rPr>
          <w:rFonts w:ascii="Times New Roman" w:eastAsia="FranklinGothic-Book" w:hAnsi="Times New Roman" w:cs="Times New Roman"/>
          <w:b/>
          <w:bCs/>
          <w:sz w:val="24"/>
          <w:szCs w:val="24"/>
        </w:rPr>
        <w:t>УПАКОВКА</w:t>
      </w:r>
    </w:p>
    <w:p w:rsidR="003A2579" w:rsidRPr="00B21416" w:rsidRDefault="003A2579" w:rsidP="00917EA0">
      <w:pPr>
        <w:ind w:left="-426" w:right="-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11B">
        <w:rPr>
          <w:rFonts w:ascii="Times New Roman" w:hAnsi="Times New Roman" w:cs="Times New Roman"/>
          <w:color w:val="000000"/>
          <w:sz w:val="24"/>
          <w:szCs w:val="24"/>
        </w:rPr>
        <w:t xml:space="preserve">Кормовую добавку </w:t>
      </w:r>
      <w:r w:rsidRPr="00821D96">
        <w:rPr>
          <w:rFonts w:ascii="Times New Roman" w:eastAsia="FranklinGothic-Book" w:hAnsi="Times New Roman" w:cs="Times New Roman"/>
          <w:color w:val="1F497D"/>
          <w:sz w:val="24"/>
          <w:szCs w:val="24"/>
        </w:rPr>
        <w:t>ДиетевитИксель</w:t>
      </w:r>
      <w:r w:rsidRPr="00552D14">
        <w:rPr>
          <w:rFonts w:ascii="Times New Roman" w:eastAsia="FranklinGothic-Book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E011B">
        <w:rPr>
          <w:rFonts w:ascii="Times New Roman" w:hAnsi="Times New Roman" w:cs="Times New Roman"/>
          <w:color w:val="000000"/>
          <w:sz w:val="24"/>
          <w:szCs w:val="24"/>
        </w:rPr>
        <w:t>ыпускают</w:t>
      </w:r>
      <w:r w:rsidRPr="00552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11B">
        <w:rPr>
          <w:rFonts w:ascii="Times New Roman" w:hAnsi="Times New Roman" w:cs="Times New Roman"/>
          <w:color w:val="000000"/>
          <w:sz w:val="24"/>
          <w:szCs w:val="24"/>
        </w:rPr>
        <w:t>расфасованн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E011B">
        <w:rPr>
          <w:rFonts w:ascii="Times New Roman" w:hAnsi="Times New Roman" w:cs="Times New Roman"/>
          <w:color w:val="000000"/>
          <w:sz w:val="24"/>
          <w:szCs w:val="24"/>
        </w:rPr>
        <w:t xml:space="preserve"> по 40 болюсов в контейнер из пенопласта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6E011B">
        <w:rPr>
          <w:rFonts w:ascii="Times New Roman" w:hAnsi="Times New Roman" w:cs="Times New Roman"/>
          <w:color w:val="000000"/>
          <w:sz w:val="24"/>
          <w:szCs w:val="24"/>
        </w:rPr>
        <w:t xml:space="preserve"> в картонн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552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коробку.</w:t>
      </w:r>
    </w:p>
    <w:p w:rsidR="003A2579" w:rsidRPr="00467211" w:rsidRDefault="003A2579" w:rsidP="00917EA0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FranklinGothic-Book" w:hAnsi="Times New Roman"/>
          <w:b/>
          <w:bCs/>
          <w:sz w:val="24"/>
          <w:szCs w:val="24"/>
        </w:rPr>
      </w:pPr>
      <w:r>
        <w:rPr>
          <w:rFonts w:ascii="Times New Roman" w:eastAsia="FranklinGothic-Book" w:hAnsi="Times New Roman" w:cs="Times New Roman"/>
          <w:b/>
          <w:bCs/>
          <w:sz w:val="24"/>
          <w:szCs w:val="24"/>
        </w:rPr>
        <w:t>УСЛОВИЯ ХРАНЕНИЯ</w:t>
      </w:r>
    </w:p>
    <w:p w:rsidR="003A2579" w:rsidRDefault="003A2579" w:rsidP="00917EA0">
      <w:pPr>
        <w:tabs>
          <w:tab w:val="left" w:pos="360"/>
          <w:tab w:val="num" w:pos="900"/>
        </w:tabs>
        <w:ind w:left="-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E011B">
        <w:rPr>
          <w:rFonts w:ascii="Times New Roman" w:hAnsi="Times New Roman" w:cs="Times New Roman"/>
          <w:color w:val="000000"/>
          <w:sz w:val="24"/>
          <w:szCs w:val="24"/>
        </w:rPr>
        <w:t xml:space="preserve">Хранят в упаковке завода-изготовителя в сухом, защищенном от света месте, при температуре </w:t>
      </w:r>
      <w:r w:rsidRPr="006E01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 5°С  до  25 °С. </w:t>
      </w:r>
    </w:p>
    <w:p w:rsidR="003A2579" w:rsidRDefault="003A2579" w:rsidP="00917EA0">
      <w:pPr>
        <w:tabs>
          <w:tab w:val="left" w:pos="360"/>
          <w:tab w:val="num" w:pos="900"/>
        </w:tabs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11B">
        <w:rPr>
          <w:rFonts w:ascii="Times New Roman" w:hAnsi="Times New Roman" w:cs="Times New Roman"/>
          <w:color w:val="000000"/>
          <w:sz w:val="24"/>
          <w:szCs w:val="24"/>
        </w:rPr>
        <w:t>Срок хранения – 24 месяцев со дня изготовления.</w:t>
      </w:r>
    </w:p>
    <w:p w:rsidR="003A2579" w:rsidRPr="00552D14" w:rsidRDefault="003A2579"/>
    <w:p w:rsidR="003A2579" w:rsidRPr="00552D14" w:rsidRDefault="003A2579"/>
    <w:p w:rsidR="003A2579" w:rsidRPr="00552D14" w:rsidRDefault="003A2579"/>
    <w:p w:rsidR="003A2579" w:rsidRDefault="003A2579" w:rsidP="00917EA0">
      <w:pPr>
        <w:pStyle w:val="Header"/>
        <w:ind w:left="1985"/>
        <w:jc w:val="both"/>
      </w:pPr>
    </w:p>
    <w:p w:rsidR="003A2579" w:rsidRPr="00860D90" w:rsidRDefault="003A2579"/>
    <w:sectPr w:rsidR="003A2579" w:rsidRPr="00860D90" w:rsidSect="00917EA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5CE"/>
    <w:multiLevelType w:val="hybridMultilevel"/>
    <w:tmpl w:val="FACA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3661E1"/>
    <w:multiLevelType w:val="hybridMultilevel"/>
    <w:tmpl w:val="77A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4E"/>
    <w:rsid w:val="00080A93"/>
    <w:rsid w:val="000A00E4"/>
    <w:rsid w:val="00136A53"/>
    <w:rsid w:val="00151F0D"/>
    <w:rsid w:val="001764E5"/>
    <w:rsid w:val="001A1D96"/>
    <w:rsid w:val="001E37A0"/>
    <w:rsid w:val="003A2579"/>
    <w:rsid w:val="003B6DEC"/>
    <w:rsid w:val="003C043D"/>
    <w:rsid w:val="00423120"/>
    <w:rsid w:val="00452024"/>
    <w:rsid w:val="00467211"/>
    <w:rsid w:val="004A3BEA"/>
    <w:rsid w:val="00552D14"/>
    <w:rsid w:val="00642822"/>
    <w:rsid w:val="00666423"/>
    <w:rsid w:val="00670D81"/>
    <w:rsid w:val="006A2F4E"/>
    <w:rsid w:val="006E011B"/>
    <w:rsid w:val="006F268B"/>
    <w:rsid w:val="0070706A"/>
    <w:rsid w:val="00821D96"/>
    <w:rsid w:val="00853274"/>
    <w:rsid w:val="00860D90"/>
    <w:rsid w:val="00911394"/>
    <w:rsid w:val="009165AF"/>
    <w:rsid w:val="00917EA0"/>
    <w:rsid w:val="00AA2570"/>
    <w:rsid w:val="00B21416"/>
    <w:rsid w:val="00BB5359"/>
    <w:rsid w:val="00DC2E29"/>
    <w:rsid w:val="00E154AB"/>
    <w:rsid w:val="00EF6BD6"/>
    <w:rsid w:val="00F8198F"/>
    <w:rsid w:val="00FB1024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E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917EA0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1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917EA0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uiPriority w:val="99"/>
    <w:rsid w:val="0091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17EA0"/>
    <w:rPr>
      <w:rFonts w:ascii="Arial" w:hAnsi="Arial" w:cs="Arial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rsid w:val="0091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7EA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1038</Words>
  <Characters>5921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PetrL</dc:creator>
  <cp:keywords/>
  <dc:description/>
  <cp:lastModifiedBy>Artur_And_Aida</cp:lastModifiedBy>
  <cp:revision>5</cp:revision>
  <dcterms:created xsi:type="dcterms:W3CDTF">2014-02-20T06:31:00Z</dcterms:created>
  <dcterms:modified xsi:type="dcterms:W3CDTF">2014-10-09T12:34:00Z</dcterms:modified>
</cp:coreProperties>
</file>