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32"/>
          <w:szCs w:val="32"/>
          <w:b/>
          <w:bCs/>
        </w:rPr>
      </w:pPr>
      <w:r>
        <w:rPr>
          <w:sz w:val="32"/>
          <w:szCs w:val="32"/>
          <w:b/>
          <w:bCs/>
        </w:rPr>
        <w:t xml:space="preserve">    </w:t>
      </w:r>
    </w:p>
    <w:p>
      <w:pPr>
        <w:rPr>
          <w:sz w:val="28"/>
          <w:szCs w:val="28"/>
        </w:rPr>
      </w:pPr>
      <w:r>
        <w:rPr>
          <w:sz w:val="32"/>
          <w:szCs w:val="32"/>
          <w:b/>
          <w:bCs/>
        </w:rPr>
        <w:t xml:space="preserve">     АкваВит Поли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b/>
          <w:bCs/>
        </w:rPr>
        <w:t xml:space="preserve"> АкваВит Поли </w:t>
      </w:r>
      <w:r>
        <w:rPr>
          <w:sz w:val="28"/>
          <w:szCs w:val="28"/>
        </w:rPr>
        <w:t xml:space="preserve">– это жидкий витаминно-минеральный комплекс, предназначенный для профилактики  гиповитаминозов  в  критические  периоды  жизни  животных,  при несбалансированном  кормлении  или  в  условиях  снижения  усвоения  питательных  веществ рационов.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b/>
          <w:bCs/>
        </w:rPr>
        <w:t>ОБОСНОВАНИЕ К ПРИМЕНЕНИЮ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Современное  интенсивное  животноводство  сопряжено  с  повышенной  нагрузкой  на организм  животных,  обусловленной  высокой  продуктивностью  и  темпами  роста,  плотной схемой вакцинации, применением ветеринарных препаратов, технологическими стрессами и т.д.  В  таких  условиях  нередко  развиваются  гиповитаминозы  даже  при  условии сбалансированного  кормления,  так  как  при  воздействии  вышеперечисленных  факторов возникает  повышенная  физиологическая  потребность  в  витаминах  и  микроэлементах  на фоне снижения потребления корма. Увеличение нормы ввода премикса для компенсации дефицита витаминов и минералов не  всегда  оправдано  с  точки  зрения  экономики  (неоправданно  высокие  затраты)  и физиологии,  так  как  помимо  снижения  поступления  микронутриентов  в  организм, ухудшается их усвоение из кормовых средств.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Инструментами  оперативной  корректировки  витаминно-минеральной  обеспеченности животных  являются  жидкие  комплексы,  содержащие  высоко  доступные  и  быстро усваиваемые формы  витаминов и микроэлементов. Применение препарата АкваВит Поли в критические  периоды  жизни  животных  способствует  профилактике  гиповитаминозов  и сопутствующих  им  метаболических  нарушений,  что  позволяет  сохранять  высокие продуктивные показатели животных.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b/>
          <w:bCs/>
        </w:rPr>
        <w:t>ПОКАЗАНИЯ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Для  нормализации  обмена  веществ  при  гиповитаминозах  и  несбалансированном кормлении по витаминам и микроэлементам;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При высокой производительности;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В период интенсивного роста и развития молодняка;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При проведении ветеринарных мероприятий для усиления иммунного ответа;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После продолжительного лечения антибиотиками и кокцидиостатиками;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Для  профилактики  и  смягчения  последствий  стрессов  различной  этиологии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(температурный, кормовой, технологический); 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  <w:b/>
          <w:bCs/>
        </w:rPr>
      </w:pPr>
      <w:r>
        <w:rPr>
          <w:sz w:val="28"/>
          <w:szCs w:val="28"/>
          <w:b/>
          <w:bCs/>
        </w:rPr>
        <w:t xml:space="preserve">     СОСТАВ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В 1 л кормовой добавки АкваВит Поли содержится: 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Витамин А  - 11000 000 МЕ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Витамин D3  - 500 000 МЕ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Витамин Е  - 20 000 мг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Витамин В1  - 1 000 мг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Кальция пантотенат  - 3 500 мг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Никотинамид  - 7  000 мг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Витамин В6  - 1 800 мг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Витамин В12  - 9 мг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Витамин С  - 1 000 мг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Цинк (глицинат)  - 4 300 мг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Марганец (глицинат)  - 6 000 мг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Медь (глицинат)  - 1 500 мг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Микроэлементы входят в состав препарата в соединении с глицином, благодаря чему значительно  увеличивается их биологическая доступность по сравнению с неорганической формой и хелатными соединениями.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b/>
          <w:bCs/>
        </w:rPr>
        <w:t xml:space="preserve">   МЕХАНИЗМ ДЕЙСТВИЯ 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Эффективность  действия  препарата  АкваВит  Поли  основана  на  синергетической активности всех его компонентов, которые находятся в виде водно-дисперсной системы, что обеспечивает  их  лучшее  всасывание  в  желудочно-кишечном  тракте,  а  значит  и  более эффективное  использование.  Формула  препарата  АкваВит  Поли  разработана  для комплексного воздействия на организм с выраженными действиями на некоторые системы: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b/>
          <w:bCs/>
        </w:rPr>
        <w:t xml:space="preserve">Иммунная  система. 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Жирорастворимые  витамины  не  являются  коферментами  и практически  не  принимают  участия  в  регуляции  обменных  процессов  (исключение  – витамин  D3),  однако,  они  играют  важную  роль  в  формировании  иммунного  ответа организма.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Витамины  А  и  Е  инициируют  и  принимают  участие  в  образование  большого количества антител на поверхности дыхательных путей и желудочно-кишечного тракта.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Цинк принимает участие в синтезе некоторых ферментов, защищающих  организм от воздействия  вирусов  и  бактерий.  Кроме  того,  цинк  регулирует  работу  Т-клеток,  а  также защищает организм от негативного воздействия свободных радикалов.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Именно  эти  и  некоторые  другие  витамины  и  микроэлементы  принимают  самое  активное участие  в  бесперебойном  протекании  биохимических  превращений,  посредством  которых иммунная  система  способна  осуществлять  свою  основную  функцию  –  находить  и уничтожать чужеродный организму элемент.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b/>
          <w:bCs/>
        </w:rPr>
        <w:t xml:space="preserve">Антиоксидантная  система.  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При  стрессах  различного  происхождения  образуется большое количество свободных радикалов и активных форм кислорода. Для защиты клеток от их разрушительного действия необходи-мо поступление в организм веществ, обладающих антиоксидантными свойствами. К таким веществам относятся витамины А, Е и С, а также микроэлемент цинк.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Комплекс А, Е и С защищает мембрану клеток от разрушения, принимает участие в синтезе  фермента  глутатионпероксидазы,  который  инактивирует  свободные  радикалы, переводя их в нетоксичные  формы.  Поступление  данных  микронутриентов  в  периоды  стрессов способствует поддержанию антиоксидантной системы и осуществляет защиту организма на клеточном уровне.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b/>
          <w:bCs/>
        </w:rPr>
        <w:t xml:space="preserve">Репродуктивная  система. 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Витамины  А  и  Е  стимулируют  функции  половых  желез, участвуют в созревании фолликулов. Цинк активирует синтез тестостерона и фолликулина – гормонов, регулирующих половую активность и увеличивающих продуктивность животных.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b/>
          <w:bCs/>
        </w:rPr>
        <w:t xml:space="preserve">Нормализация  обмена  веществ. 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Витамины  В1,  В2  и  РР  входят  в  состав коферментов,  регулирующих  энергетический  обмен  клетки,  регулируют  цикл трикарбоновых кислот, окислительное фосфорилирование, а также глюкогенез.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Витамины  В1,  В2,  В6,  пантотеновая  кислота  регулируют  обмен  белков,  жиров  и углеводов.  Витамин  В12  улучшает  биосинтез  и  использование  аминокислот,  ускоряет  их включение  в  белковую  молекулу.  За  счет  витамина  В6  осуществляется  связь  белкового  и энергетического  обмена.  Таким  образом,  витамины  группы  В  входят  в  состав  важных  для организма коферментов, то есть являются небелковыми компонентами сложных ферментов. Благодаря  витаминам  группы  В  клетки  и  ткани  бесперебойно  обеспечиваются  энергией, которая необходима для их нормального функционирования.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Витамин D3, марганец и медь регулируют обмен кальция и фосфора, обеспечивают минерализацию костной и хрящевой ткани.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b/>
          <w:bCs/>
        </w:rPr>
        <w:t xml:space="preserve">Гепатопротекторные  свойства.  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Компоненты  препарата  способствуют  нормализации обмена  веществ,  в  частности  липидов,  благодаря  чему  осуществляется  защита  печени  от жировой инфильтрации. Микроэлементы марганец, медь и цинк обладают липотропными свойствами,  пантотеновая  кислота  способствует  образованию  фосфолипидов.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Синергетическое  взаимодействие  данных  компонентов  препятствует  развитию  гепатозов  и жировой дистрофии печени.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b/>
          <w:bCs/>
        </w:rPr>
        <w:t xml:space="preserve">ДОЗИРОВКА И СПОСОБ ПРИМЕНЕНИЯ 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АкваВит Поли выпаивают через систему поения из расчета 0,5 – 1 л/т воды.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Продолжительность курса применения препарата АкваВит Амино составляет 5-6 дней 1 раз в месяц.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b/>
          <w:bCs/>
        </w:rPr>
        <w:t xml:space="preserve">УПАКОВКА 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Препарат упакован в пластиковые канистры по 5, 10 и 20 л.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b/>
          <w:bCs/>
        </w:rPr>
        <w:t xml:space="preserve">УСЛОВИЯ ХРАНЕНИЯ 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Хранят в сухом, защищенном от света месте, при температуре от +1  о С до + 25  о С.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Срок годности при соблюдении условий хранения – 12 месяцев со дня изготовления. </w:t>
      </w:r>
    </w:p>
    <w:sectPr>
      <w:type w:val="continuous"/>
      <w:pgSz w:h="15841" w:w="12241"/>
      <w:pgMar w:left="1134" w:top="1134" w:right="1134" w:bottom="1134"/>
      <w:paperSrc w:first="0" w:other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18546688"/>
  <w:drawingGridVerticalSpacing w:val="18546688"/>
  <w:revisionView w:comments="1" w:markup="1" w:insDel="1" w:formatting="1"/>
  <w:footnotePr>
    <w:numRestart w:val="continuous"/>
    <w:pos w:val="pageBottom"/>
    <w:numFmt w:val="decimal"/>
    <w:numStart w:val="1"/>
  </w:footnotePr>
  <w:compat>
    <w:usePrinterMetrics w:val="1"/>
    <w:doNotUseHTMLParagraphAutoSpacing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4206603"/>
  <w:tmCommentsPr>
    <w:tmCommentsPlace w:val="0"/>
    <w:tmCommentsWidth w:val="3120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3"/>
    <w:tmLastPosSelect w:val="0"/>
    <w:tmLastPosFrameIdx w:val="0"/>
    <w:tmLastPosCaret>
      <w:tmLastPosPgfIdx w:val="65"/>
      <w:tmLastPosIdx w:val="63"/>
    </w:tmLastPosCaret>
    <w:tmLastPosAnchor>
      <w:tmLastPosPgfIdx w:val="0"/>
      <w:tmLastPosIdx w:val="0"/>
    </w:tmLastPosAnchor>
    <w:tmLastPosTblRect w:left="0" w:top="0" w:right="0" w:bottom="0"/>
    <w:tmAppRevision w:date="1481109782" w:val="652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sz w:val="20"/>
        <w:szCs w:val="20"/>
        <w:lang w:val="ru-ru" w:eastAsia="zh-cn" w:bidi="ar-sa"/>
        <w:kern w:val="1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240" w:after="60"/>
      <w:keepNext/>
      <w:outlineLvl w:val="0"/>
      <w:keepLines/>
    </w:pPr>
    <w:rPr>
      <w:rFonts w:ascii="Arial" w:hAnsi="Arial" w:cs="Arial"/>
      <w:sz w:val="36"/>
      <w:szCs w:val="36"/>
      <w:b/>
      <w:bCs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character" w:styleId="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SimSun" w:cs="Times New Roman"/>
        <w:sz w:val="20"/>
        <w:szCs w:val="20"/>
        <w:lang w:val="ru-ru" w:eastAsia="zh-cn" w:bidi="ar-sa"/>
        <w:kern w:val="1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240" w:after="60"/>
      <w:keepNext/>
      <w:outlineLvl w:val="0"/>
      <w:keepLines/>
    </w:pPr>
    <w:rPr>
      <w:rFonts w:ascii="Arial" w:hAnsi="Arial" w:cs="Arial"/>
      <w:sz w:val="36"/>
      <w:szCs w:val="36"/>
      <w:b/>
      <w:bCs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character" w:styleId="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_rels/settings.xml.rels><?xml version="1.0" encoding="UTF-8" standalone="yes" ?>
<Relationships xmlns="http://schemas.openxmlformats.org/package/2006/relationships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rev.652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2009-10-06T17:31:41Z</dcterms:created>
  <dcterms:modified xsi:type="dcterms:W3CDTF">2016-12-07T14:23:02Z</dcterms:modified>
</cp:coreProperties>
</file>