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0"/>
        <w:rPr>
          <w:rFonts w:ascii="Arial" w:hAnsi="Arial"/>
          <w:sz w:val="32"/>
          <w:szCs w:val="32"/>
          <w:lang w:val="ru-ru" w:eastAsia="zh-cn" w:bidi="ar-sa"/>
          <w:b/>
          <w:color w:val="222222"/>
        </w:rPr>
      </w:pPr>
      <w:r>
        <w:rPr>
          <w:rFonts w:ascii="Arial" w:hAnsi="Arial"/>
          <w:sz w:val="32"/>
          <w:szCs w:val="32"/>
          <w:lang w:val="ru-ru" w:eastAsia="zh-cn" w:bidi="ar-sa"/>
          <w:b/>
          <w:color w:val="222222"/>
        </w:rPr>
        <w:t>АкваТокс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b/>
          <w:color w:val="222222"/>
        </w:rPr>
        <w:t>АкваТокс</w:t>
      </w:r>
      <w:r>
        <w:rPr>
          <w:rFonts w:ascii="Arial" w:hAnsi="Arial"/>
          <w:sz w:val="24"/>
          <w:szCs w:val="24"/>
          <w:lang w:val="ru-ru" w:eastAsia="zh-cn" w:bidi="ar-sa"/>
          <w:color w:val="222222"/>
        </w:rPr>
        <w:t> – кормовая добавка, предназначенная для нормализации обмена веществ, поддержания функциональной активности печени и снижения нагрузки на систему детоксикации ксенобиотиков при несбалансированном кормлении, поражении кормов различными токсинами (соли тяжелых металлов, пестициды, гербициды, микотоксины, бактериальные токсины и др.), а также после применения различных ветеринарных препаратов, в том числе антибиотиков.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b/>
          <w:bCs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b/>
          <w:bCs/>
          <w:color w:val="222222"/>
        </w:rPr>
      </w:r>
    </w:p>
    <w:p>
      <w:pPr>
        <w:spacing w:after="15" w:line="15" w:lineRule="atLeast"/>
        <w:keepNext/>
        <w:outlineLvl w:val="2"/>
        <w:keepLines/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</w:pPr>
      <w:r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  <w:t>ОБОСНОВАНИЕ К ПРИМЕНЕНИЮ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Согласно техническим регламентам комбикорма для животных должны обеспечивать физиологические потребности в питательных веществах и энергии и быть безопасными для организма. Однако в современных условиях зачастую комбикорма не соответствуют показателям безопасности, так как содержат высокое количество чужеродных веществ – ксенобиотиков. К этой категории веществ относятся агрохимикаты, а также продукты жизнедеятельности плесневых грибов (микотоксины) и бактерий, а также соли тяжелых металлов.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Несовершенство лабораторных методов исследования кормовых средств определяет такие корма как «не токсичные» или «условно пригодные» к скармливанию животным с низкой чувствительностью. Использование этих кормов может вызвать интоксикацию организма, нарушить обменные процессы, снизить продуктивные показатели и сохранность животных.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Вторым источником поступления ксенобиотиков в организм животных является применение терапевтических ветеринарных препаратов и кормовых антибиотиков.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Совместно с токсичными веществами кормов, эти ксенобиотики создают повышенную нагрузку на эндогенную систему детоксикации организма, что приводит к нарушению метаболических процессов в печени (основной орган детоксикации), вызывая деструктивные изменения в ней, в том числе жировую дистрофию.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Для снижения нагрузки на систему эндогенной детоксикации ксенобиотиков, поддержания функциональной активности печени и нормализации обменных процессов на фоне несбалансированного кормления разработан препарата АкваТокс.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</w:r>
    </w:p>
    <w:p>
      <w:pPr>
        <w:spacing w:after="15" w:line="15" w:lineRule="atLeast"/>
        <w:keepNext/>
        <w:outlineLvl w:val="2"/>
        <w:keepLines/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</w:pPr>
      <w:r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  <w:t>ПОКАЗАНИЯ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* Для предотвращения интоксикации организма животных различными ксенобиотиками (микотоксины, пестициды, гербициды, продукты метаболизма ветеринарных препаратов, в том числе антибиотиков, бактериальные токсины и т.д.).</w:t>
        <w:br w:type="textWrapping"/>
        <w:t>* Для улучшения работы эндогенной системы детоксикации ксенобитиков;</w:t>
        <w:br w:type="textWrapping"/>
        <w:t>* Для поддержания детаксикационной функции печени;</w:t>
        <w:br w:type="textWrapping"/>
        <w:t>* Для нормализации обменных процессов в организме при несбалансированном кормлении свиней и птицы.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</w:r>
    </w:p>
    <w:p>
      <w:pPr>
        <w:spacing w:after="15" w:line="15" w:lineRule="atLeast"/>
        <w:keepNext/>
        <w:outlineLvl w:val="2"/>
        <w:keepLines/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</w:pPr>
      <w:r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  <w:t>СОСТАВ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В 1 л препарата АкваТокс содержится: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Смесь органических детоксикантов 25,5-34,5 г</w:t>
        <w:br w:type="textWrapping"/>
        <w:t>Холин-хлорид 42,5-57,5 г</w:t>
        <w:br w:type="textWrapping"/>
        <w:t>Сорбитол 382,5-517,5 г</w:t>
        <w:br w:type="textWrapping"/>
        <w:t>Витамин В12 6,8-9,2 г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</w:r>
    </w:p>
    <w:p>
      <w:pPr>
        <w:spacing w:after="15" w:line="15" w:lineRule="atLeast"/>
        <w:keepNext/>
        <w:outlineLvl w:val="2"/>
        <w:keepLines/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</w:pPr>
      <w:r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  <w:t>МЕХАНИЗМ ДЕЙСТВИЯ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Действие кормовой добавки АкваТокс направлено на профилактику и устранение последствий интоксикации организма ксенобиотиками различной природы: агрохимикатами (пестициды, гербициды, удобрения и т.д.), лекарственными субстанциями (в том числе антибиотиками), биологическими токсинами (микотоксины, продукты метаболизма патогенной микрофлоры и т.д.).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Компоненты препарата АкваТокс осуществляют защиту организма в двух направлениях: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1) Элиминация токсинов различного происхождения;</w:t>
        <w:br w:type="textWrapping"/>
        <w:t>2) Поддержание нормального физиологического состояния печени, особенно ее детоксикациоонной функции.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b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b/>
          <w:color w:val="222222"/>
        </w:rPr>
        <w:t>Элиминация токсинов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Смесь органических детоксикантов в составе препарата АкваТокс обладает способностью к неспецифической сорбции токсичных соединений различной природы с образованием устойчивых комплексов, которые в неизменном виде выводятся из организма животных.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За счет этого действия снижается концентрация ксенобиотиков, поступающих в организм животных с кормами и, соответственно, степень их негативного воздействия на функциональную активность печени.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Помимо этого, органические детоксиканты способствуют снижению количества случаев возникновения алиментарной диспепсии.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b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b/>
          <w:color w:val="222222"/>
        </w:rPr>
        <w:t>Поддержание функций печени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Дополнительное поступление в организм животных биологически активных компонентов, входящих в состав препарата АкваТокс, способствует улучшению обменных процессов в печени, снижает риск возникновения жировой дистрофии и улучшает функциональную активность печени, в том числе и в качестве основного органа системы эндогенной детоксикации ксенобиотиков.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Витамин В 12 активизирует обменные процессы в печени, улучшая ее детоксикационные функции, и ускоряет вывод токсических веществ из организма.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Сорбитол оказывает диуретическое, детоксикационное, желчегонное и спазмолитическое действие.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Холин Хлорид является одним из основных представителей, так называемых липотропных веществ, предупреждающих или уменьшающих вероятность развития жировой инфильтрации печени. Участвует в обмене фосфолипидов, в процессе их синтеза в печени, служит важным источником метильных групп, необходимых для протекающих в организме биохимических процессов.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</w:r>
    </w:p>
    <w:p>
      <w:pPr>
        <w:spacing w:after="15" w:line="15" w:lineRule="atLeast"/>
        <w:keepNext/>
        <w:outlineLvl w:val="2"/>
        <w:keepLines/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</w:pPr>
      <w:r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  <w:t>ДОЗИРОВКА И СПОСОБ ПРИМЕНЕНИЯ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Кормовую добавку АкваТокс выпаивают через систему поения курсами по 3-10 дней один раз в месяц.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b/>
          <w:color w:val="222222"/>
        </w:rPr>
        <w:t>Нормы ввода:</w:t>
        <w:br w:type="textWrapping"/>
      </w: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Свиньи / птица: 100 – 150 мл/т воды.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При использовании на постоянной основе кормовую добавку АкваТокс следует применять с интервалом 10 дней между курсами.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</w:r>
    </w:p>
    <w:p>
      <w:pPr>
        <w:spacing w:after="15" w:line="15" w:lineRule="atLeast"/>
        <w:keepNext/>
        <w:outlineLvl w:val="2"/>
        <w:keepLines/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</w:pPr>
      <w:r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  <w:t>УПАКОВКА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Кормовую добавку АкваТокс выпускают расфасованной в полиэтиленовые канистры по 3 и 5 л.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</w:r>
    </w:p>
    <w:p>
      <w:pPr>
        <w:spacing w:after="15" w:line="15" w:lineRule="atLeast"/>
        <w:keepNext/>
        <w:outlineLvl w:val="2"/>
        <w:keepLines/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</w:pPr>
      <w:r>
        <w:rPr>
          <w:rFonts w:ascii="Arial" w:hAnsi="Arial" w:cs="Arial"/>
          <w:sz w:val="24"/>
          <w:szCs w:val="24"/>
          <w:lang w:val="ru-ru" w:eastAsia="zh-cn" w:bidi="ar-sa"/>
          <w:b/>
          <w:bCs/>
          <w:color w:val="111111"/>
        </w:rPr>
        <w:t>УСЛОВИЯ ХРАНЕНИЯ</w:t>
      </w:r>
    </w:p>
    <w:p>
      <w:pPr>
        <w:spacing w:after="150"/>
        <w:rPr>
          <w:rFonts w:ascii="Arial" w:hAnsi="Arial"/>
          <w:sz w:val="24"/>
          <w:szCs w:val="24"/>
          <w:lang w:val="ru-ru" w:eastAsia="zh-cn" w:bidi="ar-sa"/>
          <w:color w:val="222222"/>
        </w:rPr>
      </w:pPr>
      <w:r>
        <w:rPr>
          <w:rFonts w:ascii="Arial" w:hAnsi="Arial"/>
          <w:sz w:val="24"/>
          <w:szCs w:val="24"/>
          <w:lang w:val="ru-ru" w:eastAsia="zh-cn" w:bidi="ar-sa"/>
          <w:color w:val="222222"/>
        </w:rPr>
        <w:t>Хранят в плотно закрытой упаковке производителя в сухом, защищенном от прямых солнечных лучей месте при температуре от + 1 °С до + 25°С.</w:t>
        <w:br w:type="textWrapping"/>
        <w:t>Срок годности –24 месяца со дня изготовления.</w:t>
      </w:r>
    </w:p>
    <w:sectPr>
      <w:type w:val="continuous"/>
      <w:pgSz w:h="15841" w:w="12241"/>
      <w:pgMar w:left="1134" w:top="1134" w:right="1134" w:bottom="1134"/>
      <w:paperSrc w:first="0" w:other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1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Pr>
          <w:rFonts w:ascii="Wingdings" w:hAnsi="Wingdings" w:eastAsia="Wingdings" w:cs="Wingdings"/>
        </w:rPr>
      </w:rPr>
    </w:lvl>
  </w:abstractNum>
  <w:abstractNum w:abstractNumId="2">
    <w:multiLevelType w:val="singleLevel"/>
    <w:name w:val="Bullet 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18546688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20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1"/>
    <w:tmLastPosFrameIdx w:val="0"/>
    <w:tmLastPosCaret>
      <w:tmLastPosPgfIdx w:val="34"/>
      <w:tmLastPosIdx w:val="29"/>
    </w:tmLastPosCaret>
    <w:tmLastPosAnchor>
      <w:tmLastPosPgfIdx w:val="34"/>
      <w:tmLastPosIdx w:val="48"/>
    </w:tmLastPosAnchor>
    <w:tmLastPosTblRect w:left="0" w:top="0" w:right="0" w:bottom="0"/>
    <w:tmAppRevision w:date="1534252791" w:val="652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SimSun" w:cs="Times New Roman"/>
        <w:sz w:val="20"/>
        <w:szCs w:val="20"/>
        <w:lang w:val="ru-ru" w:eastAsia="zh-cn" w:bidi="ar-sa"/>
        <w:kern w:val="1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  <w:keepLines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cs="Arial"/>
      <w:sz w:val="36"/>
      <w:szCs w:val="36"/>
      <w:b/>
      <w:bCs/>
    </w:rPr>
  </w:style>
  <w:style w:type="paragraph" w:styleId="2">
    <w:name w:val="Heading 2"/>
    <w:qFormat/>
    <w:basedOn w:val="1"/>
    <w:pPr>
      <w:outlineLvl w:val="1"/>
    </w:pPr>
    <w:rPr>
      <w:sz w:val="32"/>
      <w:szCs w:val="32"/>
    </w:rPr>
  </w:style>
  <w:style w:type="paragraph" w:styleId="3">
    <w:name w:val="Heading 3"/>
    <w:qFormat/>
    <w:basedOn w:val="2"/>
    <w:pPr>
      <w:outlineLvl w:val="2"/>
    </w:pPr>
    <w:rPr>
      <w:sz w:val="28"/>
      <w:szCs w:val="28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_rels/settings.xml.rels><?xml version="1.0" encoding="UTF-8" standalone="yes" ?>
<Relationships xmlns="http://schemas.openxmlformats.org/package/2006/relationships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dcterms:created xsi:type="dcterms:W3CDTF">2009-10-06T17:31:41Z</dcterms:created>
  <dcterms:modified xsi:type="dcterms:W3CDTF">2018-08-14T16:19:51Z</dcterms:modified>
</cp:coreProperties>
</file>